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ackground w:color="FABF8F" w:themeColor="accent6" w:themeTint="99"/>
  <w:body>
    <w:p w:rsidR="00F03CE6" w:rsidRPr="00F03CE6" w:rsidRDefault="00F03CE6" w:rsidP="00F03CE6">
      <w:pPr>
        <w:spacing w:after="0"/>
        <w:rPr>
          <w:rFonts w:asciiTheme="majorHAnsi" w:hAnsiTheme="majorHAnsi"/>
          <w:b/>
        </w:rPr>
      </w:pPr>
    </w:p>
    <w:p w:rsidR="00F03CE6" w:rsidRPr="00F03CE6" w:rsidRDefault="00F03CE6" w:rsidP="00F03CE6">
      <w:pPr>
        <w:spacing w:after="0"/>
        <w:rPr>
          <w:rFonts w:asciiTheme="majorHAnsi" w:hAnsiTheme="majorHAnsi"/>
          <w:b/>
        </w:rPr>
      </w:pPr>
      <w:r w:rsidRPr="00F03CE6">
        <w:rPr>
          <w:rFonts w:asciiTheme="majorHAnsi" w:hAnsiTheme="majorHAnsi"/>
          <w:b/>
        </w:rPr>
        <w:t>Acknowledgements</w:t>
      </w:r>
    </w:p>
    <w:p w:rsidR="00F03CE6" w:rsidRPr="00F03CE6" w:rsidRDefault="00F03CE6" w:rsidP="00F03CE6">
      <w:pPr>
        <w:spacing w:after="0"/>
        <w:rPr>
          <w:rFonts w:asciiTheme="majorHAnsi" w:hAnsiTheme="majorHAnsi"/>
        </w:rPr>
      </w:pPr>
      <w:r w:rsidRPr="00F03CE6">
        <w:rPr>
          <w:rFonts w:asciiTheme="majorHAnsi" w:hAnsiTheme="majorHAnsi"/>
        </w:rPr>
        <w:t xml:space="preserve">Thanks to </w:t>
      </w:r>
      <w:proofErr w:type="spellStart"/>
      <w:r w:rsidRPr="00F03CE6">
        <w:rPr>
          <w:rFonts w:asciiTheme="majorHAnsi" w:hAnsiTheme="majorHAnsi"/>
        </w:rPr>
        <w:t>Jannelle</w:t>
      </w:r>
      <w:proofErr w:type="spellEnd"/>
      <w:r w:rsidRPr="00F03CE6">
        <w:rPr>
          <w:rFonts w:asciiTheme="majorHAnsi" w:hAnsiTheme="majorHAnsi"/>
        </w:rPr>
        <w:t xml:space="preserve"> Smith, </w:t>
      </w:r>
      <w:proofErr w:type="spellStart"/>
      <w:r w:rsidRPr="00F03CE6">
        <w:rPr>
          <w:rFonts w:asciiTheme="majorHAnsi" w:hAnsiTheme="majorHAnsi"/>
        </w:rPr>
        <w:t>Raechel</w:t>
      </w:r>
      <w:proofErr w:type="spellEnd"/>
      <w:r w:rsidRPr="00F03CE6">
        <w:rPr>
          <w:rFonts w:asciiTheme="majorHAnsi" w:hAnsiTheme="majorHAnsi"/>
        </w:rPr>
        <w:t xml:space="preserve"> </w:t>
      </w:r>
      <w:proofErr w:type="spellStart"/>
      <w:r w:rsidRPr="00F03CE6">
        <w:rPr>
          <w:rFonts w:asciiTheme="majorHAnsi" w:hAnsiTheme="majorHAnsi"/>
        </w:rPr>
        <w:t>Marchand</w:t>
      </w:r>
      <w:proofErr w:type="spellEnd"/>
      <w:r w:rsidRPr="00F03CE6">
        <w:rPr>
          <w:rFonts w:asciiTheme="majorHAnsi" w:hAnsiTheme="majorHAnsi"/>
        </w:rPr>
        <w:t xml:space="preserve">, </w:t>
      </w:r>
      <w:proofErr w:type="spellStart"/>
      <w:r w:rsidRPr="00F03CE6">
        <w:rPr>
          <w:rFonts w:asciiTheme="majorHAnsi" w:hAnsiTheme="majorHAnsi"/>
        </w:rPr>
        <w:t>Carly</w:t>
      </w:r>
      <w:proofErr w:type="spellEnd"/>
      <w:r w:rsidRPr="00F03CE6">
        <w:rPr>
          <w:rFonts w:asciiTheme="majorHAnsi" w:hAnsiTheme="majorHAnsi"/>
        </w:rPr>
        <w:t xml:space="preserve"> </w:t>
      </w:r>
      <w:proofErr w:type="spellStart"/>
      <w:r w:rsidRPr="00F03CE6">
        <w:rPr>
          <w:rFonts w:asciiTheme="majorHAnsi" w:hAnsiTheme="majorHAnsi"/>
        </w:rPr>
        <w:t>Groot</w:t>
      </w:r>
      <w:proofErr w:type="spellEnd"/>
      <w:r w:rsidRPr="00F03CE6">
        <w:rPr>
          <w:rFonts w:asciiTheme="majorHAnsi" w:hAnsiTheme="majorHAnsi"/>
        </w:rPr>
        <w:t xml:space="preserve">, Nicole French and Darryl Adams for participating in the </w:t>
      </w:r>
      <w:proofErr w:type="spellStart"/>
      <w:r w:rsidR="00BF2F46">
        <w:rPr>
          <w:rFonts w:asciiTheme="majorHAnsi" w:hAnsiTheme="majorHAnsi"/>
        </w:rPr>
        <w:t>UV</w:t>
      </w:r>
      <w:r w:rsidRPr="00F03CE6">
        <w:rPr>
          <w:rFonts w:asciiTheme="majorHAnsi" w:hAnsiTheme="majorHAnsi"/>
        </w:rPr>
        <w:t>ic</w:t>
      </w:r>
      <w:proofErr w:type="spellEnd"/>
      <w:r w:rsidRPr="00F03CE6">
        <w:rPr>
          <w:rFonts w:asciiTheme="majorHAnsi" w:hAnsiTheme="majorHAnsi"/>
        </w:rPr>
        <w:t xml:space="preserve"> </w:t>
      </w:r>
      <w:proofErr w:type="spellStart"/>
      <w:r w:rsidRPr="00F03CE6">
        <w:rPr>
          <w:rFonts w:asciiTheme="majorHAnsi" w:hAnsiTheme="majorHAnsi"/>
        </w:rPr>
        <w:t>TGfU</w:t>
      </w:r>
      <w:proofErr w:type="spellEnd"/>
      <w:r w:rsidRPr="00F03CE6">
        <w:rPr>
          <w:rFonts w:asciiTheme="majorHAnsi" w:hAnsiTheme="majorHAnsi"/>
        </w:rPr>
        <w:t xml:space="preserve"> club that generated the images for this paper and helped further refine the ideas presented.</w:t>
      </w:r>
      <w:r w:rsidR="00EE40D1">
        <w:rPr>
          <w:rFonts w:asciiTheme="majorHAnsi" w:hAnsiTheme="majorHAnsi"/>
        </w:rPr>
        <w:t xml:space="preserve"> Dr Kathy Sanford for many discussions around the ideas in this paper.</w:t>
      </w:r>
    </w:p>
    <w:p w:rsidR="00F03CE6" w:rsidRDefault="00F03CE6" w:rsidP="00F03CE6">
      <w:pPr>
        <w:spacing w:after="0"/>
        <w:rPr>
          <w:rFonts w:asciiTheme="majorHAnsi" w:hAnsiTheme="majorHAnsi"/>
          <w:b/>
        </w:rPr>
      </w:pPr>
    </w:p>
    <w:p w:rsidR="00937932" w:rsidRPr="00F03CE6" w:rsidRDefault="00937932" w:rsidP="00F03CE6">
      <w:pPr>
        <w:spacing w:after="0"/>
        <w:rPr>
          <w:rFonts w:asciiTheme="majorHAnsi" w:hAnsiTheme="majorHAnsi"/>
          <w:b/>
        </w:rPr>
      </w:pPr>
      <w:r w:rsidRPr="00F03CE6">
        <w:rPr>
          <w:rFonts w:asciiTheme="majorHAnsi" w:hAnsiTheme="majorHAnsi"/>
          <w:b/>
        </w:rPr>
        <w:t>Presentation Sources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09" w:hanging="709"/>
        <w:rPr>
          <w:rFonts w:asciiTheme="majorHAnsi" w:hAnsiTheme="majorHAnsi" w:cs="Helvetica"/>
        </w:rPr>
      </w:pPr>
      <w:proofErr w:type="spellStart"/>
      <w:r w:rsidRPr="00F03CE6">
        <w:rPr>
          <w:rFonts w:asciiTheme="majorHAnsi" w:hAnsiTheme="majorHAnsi" w:cs="Helvetica"/>
        </w:rPr>
        <w:t>Barab</w:t>
      </w:r>
      <w:proofErr w:type="spellEnd"/>
      <w:r w:rsidRPr="00F03CE6">
        <w:rPr>
          <w:rFonts w:asciiTheme="majorHAnsi" w:hAnsiTheme="majorHAnsi" w:cs="Helvetica"/>
        </w:rPr>
        <w:t xml:space="preserve">, S. A., </w:t>
      </w:r>
      <w:proofErr w:type="spellStart"/>
      <w:r w:rsidRPr="00F03CE6">
        <w:rPr>
          <w:rFonts w:asciiTheme="majorHAnsi" w:hAnsiTheme="majorHAnsi" w:cs="Helvetica"/>
        </w:rPr>
        <w:t>Cherkes-Julkowski</w:t>
      </w:r>
      <w:proofErr w:type="spellEnd"/>
      <w:r w:rsidRPr="00F03CE6">
        <w:rPr>
          <w:rFonts w:asciiTheme="majorHAnsi" w:hAnsiTheme="majorHAnsi" w:cs="Helvetica"/>
        </w:rPr>
        <w:t xml:space="preserve">, M., Swenson, R., Garrett, S., Shaw, R. E., &amp; Young, M. (1999). Principles of Self-Organization: Learning as Participation in </w:t>
      </w:r>
      <w:proofErr w:type="spellStart"/>
      <w:r w:rsidRPr="00F03CE6">
        <w:rPr>
          <w:rFonts w:asciiTheme="majorHAnsi" w:hAnsiTheme="majorHAnsi" w:cs="Helvetica"/>
        </w:rPr>
        <w:t>Autocatakinetic</w:t>
      </w:r>
      <w:proofErr w:type="spellEnd"/>
      <w:r w:rsidRPr="00F03CE6">
        <w:rPr>
          <w:rFonts w:asciiTheme="majorHAnsi" w:hAnsiTheme="majorHAnsi" w:cs="Helvetica"/>
        </w:rPr>
        <w:t xml:space="preserve"> Systems. </w:t>
      </w:r>
      <w:r w:rsidRPr="00F03CE6">
        <w:rPr>
          <w:rFonts w:asciiTheme="majorHAnsi" w:hAnsiTheme="majorHAnsi" w:cs="Helvetica"/>
          <w:i/>
          <w:iCs/>
        </w:rPr>
        <w:t>Journal of the Learning Sciences, 8</w:t>
      </w:r>
      <w:r w:rsidRPr="00F03CE6">
        <w:rPr>
          <w:rFonts w:asciiTheme="majorHAnsi" w:hAnsiTheme="majorHAnsi" w:cs="Helvetica"/>
        </w:rPr>
        <w:t>(3), 349 - 390.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proofErr w:type="gramStart"/>
      <w:r w:rsidRPr="00F03CE6">
        <w:rPr>
          <w:rFonts w:asciiTheme="majorHAnsi" w:hAnsiTheme="majorHAnsi" w:cs="Helvetica"/>
        </w:rPr>
        <w:t>Clarke, A., Erickson, G., Collins, S., &amp; Phelan, A. (2005).</w:t>
      </w:r>
      <w:proofErr w:type="gramEnd"/>
      <w:r w:rsidRPr="00F03CE6">
        <w:rPr>
          <w:rFonts w:asciiTheme="majorHAnsi" w:hAnsiTheme="majorHAnsi" w:cs="Helvetica"/>
        </w:rPr>
        <w:t xml:space="preserve"> </w:t>
      </w:r>
      <w:proofErr w:type="gramStart"/>
      <w:r w:rsidRPr="00F03CE6">
        <w:rPr>
          <w:rFonts w:asciiTheme="majorHAnsi" w:hAnsiTheme="majorHAnsi" w:cs="Helvetica"/>
        </w:rPr>
        <w:t>Complexity science and cohorts in teacher education.</w:t>
      </w:r>
      <w:proofErr w:type="gramEnd"/>
      <w:r w:rsidRPr="00F03CE6">
        <w:rPr>
          <w:rFonts w:asciiTheme="majorHAnsi" w:hAnsiTheme="majorHAnsi" w:cs="Helvetica"/>
        </w:rPr>
        <w:t xml:space="preserve"> </w:t>
      </w:r>
      <w:r w:rsidRPr="00F03CE6">
        <w:rPr>
          <w:rFonts w:asciiTheme="majorHAnsi" w:hAnsiTheme="majorHAnsi" w:cs="Helvetica"/>
          <w:i/>
          <w:iCs/>
        </w:rPr>
        <w:t>Studying Teacher Education, 1</w:t>
      </w:r>
      <w:r w:rsidRPr="00F03CE6">
        <w:rPr>
          <w:rFonts w:asciiTheme="majorHAnsi" w:hAnsiTheme="majorHAnsi" w:cs="Helvetica"/>
        </w:rPr>
        <w:t>(2), 159-208.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Davis, B. (2004). </w:t>
      </w:r>
      <w:r w:rsidRPr="00F03CE6">
        <w:rPr>
          <w:rFonts w:asciiTheme="majorHAnsi" w:hAnsiTheme="majorHAnsi" w:cs="Helvetica"/>
          <w:i/>
          <w:iCs/>
        </w:rPr>
        <w:t>Inventions of teaching: A genealogy</w:t>
      </w:r>
      <w:r w:rsidRPr="00F03CE6">
        <w:rPr>
          <w:rFonts w:asciiTheme="majorHAnsi" w:hAnsiTheme="majorHAnsi" w:cs="Helvetica"/>
        </w:rPr>
        <w:t>. London: Lawrence Erlbaum Associates.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Davis, B. (2008). </w:t>
      </w:r>
      <w:r w:rsidRPr="00F03CE6">
        <w:rPr>
          <w:rFonts w:asciiTheme="majorHAnsi" w:hAnsiTheme="majorHAnsi" w:cs="Times"/>
          <w:szCs w:val="28"/>
        </w:rPr>
        <w:t>Complexity and education: Vital simultaneities</w:t>
      </w:r>
      <w:r w:rsidRPr="00F03CE6">
        <w:rPr>
          <w:rFonts w:asciiTheme="majorHAnsi" w:hAnsiTheme="majorHAnsi" w:cs="Helvetica"/>
        </w:rPr>
        <w:t xml:space="preserve">. </w:t>
      </w:r>
      <w:r w:rsidRPr="00F03CE6">
        <w:rPr>
          <w:rFonts w:asciiTheme="majorHAnsi" w:hAnsiTheme="majorHAnsi" w:cs="Helvetica"/>
          <w:i/>
          <w:iCs/>
        </w:rPr>
        <w:t>Educational Philosophy and Theory, 40</w:t>
      </w:r>
      <w:r w:rsidRPr="00F03CE6">
        <w:rPr>
          <w:rFonts w:asciiTheme="majorHAnsi" w:hAnsiTheme="majorHAnsi" w:cs="Helvetica"/>
        </w:rPr>
        <w:t>(1), 50-65.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Davis, B., &amp; </w:t>
      </w:r>
      <w:proofErr w:type="spellStart"/>
      <w:r w:rsidRPr="00F03CE6">
        <w:rPr>
          <w:rFonts w:asciiTheme="majorHAnsi" w:hAnsiTheme="majorHAnsi" w:cs="Helvetica"/>
        </w:rPr>
        <w:t>Sumara</w:t>
      </w:r>
      <w:proofErr w:type="spellEnd"/>
      <w:r w:rsidRPr="00F03CE6">
        <w:rPr>
          <w:rFonts w:asciiTheme="majorHAnsi" w:hAnsiTheme="majorHAnsi" w:cs="Helvetica"/>
        </w:rPr>
        <w:t xml:space="preserve">, D. (2005). Complexity science and educational action research: toward a pragmatics of transformation. </w:t>
      </w:r>
      <w:r w:rsidRPr="00F03CE6">
        <w:rPr>
          <w:rFonts w:asciiTheme="majorHAnsi" w:hAnsiTheme="majorHAnsi" w:cs="Helvetica"/>
          <w:i/>
          <w:iCs/>
        </w:rPr>
        <w:t>Educational Action Research, 13</w:t>
      </w:r>
      <w:r w:rsidRPr="00F03CE6">
        <w:rPr>
          <w:rFonts w:asciiTheme="majorHAnsi" w:hAnsiTheme="majorHAnsi" w:cs="Helvetica"/>
        </w:rPr>
        <w:t>(3), 453 - 466.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Davis, B., </w:t>
      </w:r>
      <w:proofErr w:type="spellStart"/>
      <w:r w:rsidRPr="00F03CE6">
        <w:rPr>
          <w:rFonts w:asciiTheme="majorHAnsi" w:hAnsiTheme="majorHAnsi" w:cs="Helvetica"/>
        </w:rPr>
        <w:t>Sumara</w:t>
      </w:r>
      <w:proofErr w:type="spellEnd"/>
      <w:r w:rsidRPr="00F03CE6">
        <w:rPr>
          <w:rFonts w:asciiTheme="majorHAnsi" w:hAnsiTheme="majorHAnsi" w:cs="Helvetica"/>
        </w:rPr>
        <w:t>, D., &amp; Luce-</w:t>
      </w:r>
      <w:proofErr w:type="spellStart"/>
      <w:r w:rsidRPr="00F03CE6">
        <w:rPr>
          <w:rFonts w:asciiTheme="majorHAnsi" w:hAnsiTheme="majorHAnsi" w:cs="Helvetica"/>
        </w:rPr>
        <w:t>Kapler</w:t>
      </w:r>
      <w:proofErr w:type="spellEnd"/>
      <w:r w:rsidRPr="00F03CE6">
        <w:rPr>
          <w:rFonts w:asciiTheme="majorHAnsi" w:hAnsiTheme="majorHAnsi" w:cs="Helvetica"/>
        </w:rPr>
        <w:t xml:space="preserve">, R. (2008). </w:t>
      </w:r>
      <w:r w:rsidRPr="00F03CE6">
        <w:rPr>
          <w:rFonts w:asciiTheme="majorHAnsi" w:hAnsiTheme="majorHAnsi" w:cs="Helvetica"/>
          <w:i/>
          <w:iCs/>
        </w:rPr>
        <w:t>Engaging minds: Changing teaching in a complex world</w:t>
      </w:r>
      <w:r w:rsidRPr="00F03CE6">
        <w:rPr>
          <w:rFonts w:asciiTheme="majorHAnsi" w:hAnsiTheme="majorHAnsi" w:cs="Helvetica"/>
        </w:rPr>
        <w:t xml:space="preserve">. New York: </w:t>
      </w:r>
      <w:proofErr w:type="spellStart"/>
      <w:r w:rsidRPr="00F03CE6">
        <w:rPr>
          <w:rFonts w:asciiTheme="majorHAnsi" w:hAnsiTheme="majorHAnsi" w:cs="Helvetica"/>
        </w:rPr>
        <w:t>Routledge</w:t>
      </w:r>
      <w:proofErr w:type="spellEnd"/>
      <w:r w:rsidRPr="00F03CE6">
        <w:rPr>
          <w:rFonts w:asciiTheme="majorHAnsi" w:hAnsiTheme="majorHAnsi" w:cs="Helvetica"/>
        </w:rPr>
        <w:t>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Davis, W. E., &amp; </w:t>
      </w:r>
      <w:proofErr w:type="spellStart"/>
      <w:r w:rsidRPr="00F03CE6">
        <w:rPr>
          <w:rFonts w:asciiTheme="majorHAnsi" w:hAnsiTheme="majorHAnsi" w:cs="Helvetica"/>
        </w:rPr>
        <w:t>Broadhead</w:t>
      </w:r>
      <w:proofErr w:type="spellEnd"/>
      <w:r w:rsidRPr="00F03CE6">
        <w:rPr>
          <w:rFonts w:asciiTheme="majorHAnsi" w:hAnsiTheme="majorHAnsi" w:cs="Helvetica"/>
        </w:rPr>
        <w:t xml:space="preserve">, G. (2007). </w:t>
      </w:r>
      <w:r w:rsidRPr="00F03CE6">
        <w:rPr>
          <w:rFonts w:asciiTheme="majorHAnsi" w:hAnsiTheme="majorHAnsi" w:cs="Helvetica"/>
          <w:i/>
          <w:iCs/>
        </w:rPr>
        <w:t>Ecological Task Analysis and Movement</w:t>
      </w:r>
      <w:r w:rsidRPr="00F03CE6">
        <w:rPr>
          <w:rFonts w:asciiTheme="majorHAnsi" w:hAnsiTheme="majorHAnsi" w:cs="Helvetica"/>
        </w:rPr>
        <w:t>. Windsor: Human Kinetics.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Gee, J. (2007). </w:t>
      </w:r>
      <w:r w:rsidRPr="00F03CE6">
        <w:rPr>
          <w:rFonts w:asciiTheme="majorHAnsi" w:hAnsiTheme="majorHAnsi" w:cs="Helvetica"/>
          <w:i/>
          <w:iCs/>
        </w:rPr>
        <w:t>Good video games and good learning</w:t>
      </w:r>
      <w:r w:rsidRPr="00F03CE6">
        <w:rPr>
          <w:rFonts w:asciiTheme="majorHAnsi" w:hAnsiTheme="majorHAnsi" w:cs="Helvetica"/>
        </w:rPr>
        <w:t>. New York: Peter Lang.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 xml:space="preserve">Hopper, T. F., &amp; Sanford, K. (2009). </w:t>
      </w:r>
      <w:r w:rsidRPr="00F03CE6">
        <w:rPr>
          <w:rFonts w:asciiTheme="majorHAnsi" w:hAnsiTheme="majorHAnsi" w:cs="Times New Roman"/>
        </w:rPr>
        <w:t xml:space="preserve">Occasioning moments in game-as-teacher: Complexity thinking applied to </w:t>
      </w:r>
      <w:proofErr w:type="spellStart"/>
      <w:r w:rsidRPr="00F03CE6">
        <w:rPr>
          <w:rFonts w:asciiTheme="majorHAnsi" w:hAnsiTheme="majorHAnsi" w:cs="Times New Roman"/>
        </w:rPr>
        <w:t>TGfU</w:t>
      </w:r>
      <w:proofErr w:type="spellEnd"/>
      <w:r w:rsidRPr="00F03CE6">
        <w:rPr>
          <w:rFonts w:asciiTheme="majorHAnsi" w:hAnsiTheme="majorHAnsi" w:cs="Times New Roman"/>
        </w:rPr>
        <w:t xml:space="preserve"> and </w:t>
      </w:r>
      <w:proofErr w:type="spellStart"/>
      <w:r w:rsidRPr="00F03CE6">
        <w:rPr>
          <w:rFonts w:asciiTheme="majorHAnsi" w:hAnsiTheme="majorHAnsi" w:cs="Times New Roman"/>
        </w:rPr>
        <w:t>Videogaming</w:t>
      </w:r>
      <w:proofErr w:type="spellEnd"/>
      <w:r w:rsidRPr="00F03CE6">
        <w:rPr>
          <w:rFonts w:asciiTheme="majorHAnsi" w:hAnsiTheme="majorHAnsi" w:cs="Helvetica"/>
        </w:rPr>
        <w:t xml:space="preserve">. In J. Butler &amp; L. Griffin (Eds.), </w:t>
      </w:r>
      <w:r w:rsidRPr="00F03CE6">
        <w:rPr>
          <w:rFonts w:asciiTheme="majorHAnsi" w:hAnsiTheme="majorHAnsi" w:cs="Helvetica"/>
          <w:i/>
          <w:iCs/>
        </w:rPr>
        <w:t xml:space="preserve">Second </w:t>
      </w:r>
      <w:proofErr w:type="spellStart"/>
      <w:r w:rsidRPr="00F03CE6">
        <w:rPr>
          <w:rFonts w:asciiTheme="majorHAnsi" w:hAnsiTheme="majorHAnsi" w:cs="Helvetica"/>
          <w:i/>
          <w:iCs/>
        </w:rPr>
        <w:t>TGfU</w:t>
      </w:r>
      <w:proofErr w:type="spellEnd"/>
      <w:r w:rsidRPr="00F03CE6">
        <w:rPr>
          <w:rFonts w:asciiTheme="majorHAnsi" w:hAnsiTheme="majorHAnsi" w:cs="Helvetica"/>
          <w:i/>
          <w:iCs/>
        </w:rPr>
        <w:t xml:space="preserve"> book: Theory, research and practice</w:t>
      </w:r>
      <w:r w:rsidRPr="00F03CE6">
        <w:rPr>
          <w:rFonts w:asciiTheme="majorHAnsi" w:hAnsiTheme="majorHAnsi" w:cs="Helvetica"/>
        </w:rPr>
        <w:t>. Windsor: Human Kinetics.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proofErr w:type="gramStart"/>
      <w:r w:rsidRPr="00F03CE6">
        <w:rPr>
          <w:rFonts w:asciiTheme="majorHAnsi" w:hAnsiTheme="majorHAnsi" w:cs="Helvetica"/>
        </w:rPr>
        <w:t>Hopper, T., Sanford, K., &amp; Clarke, A. (2009).</w:t>
      </w:r>
      <w:proofErr w:type="gramEnd"/>
      <w:r w:rsidRPr="00F03CE6">
        <w:rPr>
          <w:rFonts w:asciiTheme="majorHAnsi" w:hAnsiTheme="majorHAnsi" w:cs="Helvetica"/>
        </w:rPr>
        <w:t xml:space="preserve"> </w:t>
      </w:r>
      <w:r w:rsidRPr="00F03CE6">
        <w:rPr>
          <w:rFonts w:asciiTheme="majorHAnsi" w:hAnsiTheme="majorHAnsi" w:cs="Times New Roman"/>
        </w:rPr>
        <w:t xml:space="preserve">Game-as-teacher and game-play: Complex learning in </w:t>
      </w:r>
      <w:proofErr w:type="spellStart"/>
      <w:r w:rsidRPr="00F03CE6">
        <w:rPr>
          <w:rFonts w:asciiTheme="majorHAnsi" w:hAnsiTheme="majorHAnsi" w:cs="Times New Roman"/>
        </w:rPr>
        <w:t>TGfU</w:t>
      </w:r>
      <w:proofErr w:type="spellEnd"/>
      <w:r w:rsidRPr="00F03CE6">
        <w:rPr>
          <w:rFonts w:asciiTheme="majorHAnsi" w:hAnsiTheme="majorHAnsi" w:cs="Times New Roman"/>
        </w:rPr>
        <w:t xml:space="preserve"> and Videogames</w:t>
      </w:r>
      <w:r w:rsidRPr="00F03CE6">
        <w:rPr>
          <w:rFonts w:asciiTheme="majorHAnsi" w:hAnsiTheme="majorHAnsi" w:cs="Helvetica"/>
        </w:rPr>
        <w:t xml:space="preserve">. In T. Hopper, J. Butler &amp; B. Storey (Eds.), </w:t>
      </w:r>
      <w:proofErr w:type="spellStart"/>
      <w:r w:rsidRPr="00F03CE6">
        <w:rPr>
          <w:rFonts w:asciiTheme="majorHAnsi" w:hAnsiTheme="majorHAnsi" w:cs="Times New Roman"/>
          <w:i/>
          <w:iCs/>
          <w:szCs w:val="28"/>
        </w:rPr>
        <w:t>TGfU</w:t>
      </w:r>
      <w:proofErr w:type="spellEnd"/>
      <w:r w:rsidRPr="00F03CE6">
        <w:rPr>
          <w:rFonts w:asciiTheme="majorHAnsi" w:hAnsiTheme="majorHAnsi" w:cs="Times New Roman"/>
          <w:i/>
          <w:iCs/>
          <w:szCs w:val="28"/>
        </w:rPr>
        <w:t>...Simply Good Pedagogy: Understanding a Complex Challenge</w:t>
      </w:r>
      <w:r w:rsidRPr="00F03CE6">
        <w:rPr>
          <w:rFonts w:asciiTheme="majorHAnsi" w:hAnsiTheme="majorHAnsi" w:cs="Helvetica"/>
        </w:rPr>
        <w:t xml:space="preserve"> (pp. 246). Ottawa: Physical Health Education (Canada).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proofErr w:type="gramStart"/>
      <w:r w:rsidRPr="00F03CE6">
        <w:rPr>
          <w:rFonts w:asciiTheme="majorHAnsi" w:hAnsiTheme="majorHAnsi" w:cs="Helvetica"/>
        </w:rPr>
        <w:t>Light, R. (2008).</w:t>
      </w:r>
      <w:proofErr w:type="gramEnd"/>
      <w:r w:rsidRPr="00F03CE6">
        <w:rPr>
          <w:rFonts w:asciiTheme="majorHAnsi" w:hAnsiTheme="majorHAnsi" w:cs="Helvetica"/>
        </w:rPr>
        <w:t xml:space="preserve"> Complex learning theory— its epistemology and its assumptions about learning: implications for physical education. </w:t>
      </w:r>
      <w:proofErr w:type="gramStart"/>
      <w:r w:rsidRPr="00F03CE6">
        <w:rPr>
          <w:rFonts w:asciiTheme="majorHAnsi" w:hAnsiTheme="majorHAnsi" w:cs="Helvetica"/>
          <w:i/>
          <w:iCs/>
        </w:rPr>
        <w:t>Journal of Teaching Physical Education, 27</w:t>
      </w:r>
      <w:r w:rsidRPr="00F03CE6">
        <w:rPr>
          <w:rFonts w:asciiTheme="majorHAnsi" w:hAnsiTheme="majorHAnsi" w:cs="Helvetica"/>
        </w:rPr>
        <w:t>, 21-37.</w:t>
      </w:r>
      <w:proofErr w:type="gramEnd"/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  <w:b/>
        </w:rPr>
      </w:pPr>
      <w:proofErr w:type="spellStart"/>
      <w:r w:rsidRPr="00F03CE6">
        <w:rPr>
          <w:rFonts w:asciiTheme="majorHAnsi" w:hAnsiTheme="majorHAnsi" w:cs="Helvetica"/>
          <w:b/>
        </w:rPr>
        <w:t>Youtube</w:t>
      </w:r>
      <w:proofErr w:type="spellEnd"/>
      <w:r w:rsidRPr="00F03CE6">
        <w:rPr>
          <w:rFonts w:asciiTheme="majorHAnsi" w:hAnsiTheme="majorHAnsi" w:cs="Helvetica"/>
          <w:b/>
        </w:rPr>
        <w:t xml:space="preserve"> sources</w:t>
      </w:r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  <w:r w:rsidRPr="00F03CE6">
        <w:rPr>
          <w:rFonts w:asciiTheme="majorHAnsi" w:hAnsiTheme="majorHAnsi" w:cs="Helvetica"/>
        </w:rPr>
        <w:t>Emergence - Complexity from Simplicity, Order from Chaos</w:t>
      </w:r>
    </w:p>
    <w:p w:rsidR="00937932" w:rsidRPr="00F03CE6" w:rsidRDefault="00656B11" w:rsidP="00F03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Helvetica"/>
        </w:rPr>
      </w:pPr>
      <w:hyperlink r:id="rId5" w:history="1">
        <w:r w:rsidR="00937932" w:rsidRPr="00F03CE6">
          <w:rPr>
            <w:rStyle w:val="Hyperlink"/>
            <w:rFonts w:asciiTheme="majorHAnsi" w:hAnsiTheme="majorHAnsi" w:cs="Helvetica"/>
          </w:rPr>
          <w:t>http://www.youtube.com/watch?v=gdQgoNitl1g&amp;feature=related</w:t>
        </w:r>
      </w:hyperlink>
    </w:p>
    <w:p w:rsidR="00937932" w:rsidRPr="00F03CE6" w:rsidRDefault="00656B11" w:rsidP="00F03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Helvetica"/>
        </w:rPr>
      </w:pPr>
      <w:hyperlink r:id="rId6" w:history="1">
        <w:r w:rsidR="00937932" w:rsidRPr="00F03CE6">
          <w:rPr>
            <w:rStyle w:val="Hyperlink"/>
            <w:rFonts w:asciiTheme="majorHAnsi" w:hAnsiTheme="majorHAnsi" w:cs="Helvetica"/>
          </w:rPr>
          <w:t>http://www.youtube.com/watch?v=S5NRNG1r_jI&amp;feature=related</w:t>
        </w:r>
      </w:hyperlink>
    </w:p>
    <w:p w:rsidR="00937932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</w:rPr>
      </w:pPr>
    </w:p>
    <w:p w:rsidR="00F03CE6" w:rsidRPr="00F03CE6" w:rsidRDefault="00937932" w:rsidP="00F03CE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 w:cs="Helvetica"/>
          <w:b/>
        </w:rPr>
      </w:pPr>
      <w:r w:rsidRPr="00F03CE6">
        <w:rPr>
          <w:rFonts w:asciiTheme="majorHAnsi" w:hAnsiTheme="majorHAnsi" w:cs="Helvetica"/>
          <w:b/>
        </w:rPr>
        <w:t>Paper references</w:t>
      </w:r>
    </w:p>
    <w:p w:rsidR="00F03CE6" w:rsidRPr="00F03CE6" w:rsidRDefault="00656B11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</w:rPr>
        <w:fldChar w:fldCharType="begin"/>
      </w:r>
      <w:r w:rsidR="00F03CE6" w:rsidRPr="00F03CE6">
        <w:rPr>
          <w:rFonts w:asciiTheme="majorHAnsi" w:hAnsiTheme="majorHAnsi"/>
        </w:rPr>
        <w:instrText xml:space="preserve"> ADDIN EN.REFLIST </w:instrText>
      </w:r>
      <w:r w:rsidRPr="00F03CE6">
        <w:rPr>
          <w:rFonts w:asciiTheme="majorHAnsi" w:hAnsiTheme="majorHAnsi"/>
        </w:rPr>
        <w:fldChar w:fldCharType="separate"/>
      </w:r>
      <w:r w:rsidR="00F03CE6" w:rsidRPr="00F03CE6">
        <w:rPr>
          <w:rFonts w:asciiTheme="majorHAnsi" w:hAnsiTheme="majorHAnsi"/>
          <w:noProof/>
        </w:rPr>
        <w:t xml:space="preserve">ArenaNet (Producer). (2005, Oct 15, 2008) Guild Wars. </w:t>
      </w:r>
      <w:r w:rsidR="00F03CE6" w:rsidRPr="00F03CE6">
        <w:rPr>
          <w:rFonts w:asciiTheme="majorHAnsi" w:hAnsiTheme="majorHAnsi"/>
          <w:i/>
          <w:noProof/>
        </w:rPr>
        <w:t>Guild Wars Prophecies</w:t>
      </w:r>
      <w:r w:rsidR="00F03CE6" w:rsidRPr="00F03CE6">
        <w:rPr>
          <w:rFonts w:asciiTheme="majorHAnsi" w:hAnsiTheme="majorHAnsi"/>
          <w:noProof/>
        </w:rPr>
        <w:t>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Barab, S. A., Cherkes-Julkowski, M., Swenson, R., Garrett, S., Shaw, R. E., &amp; Young, M. (1999). Principles of Self-Organization: Learning as Participation in Autocatakinetic Systems. </w:t>
      </w:r>
      <w:r w:rsidRPr="00F03CE6">
        <w:rPr>
          <w:rFonts w:asciiTheme="majorHAnsi" w:hAnsiTheme="majorHAnsi"/>
          <w:i/>
          <w:noProof/>
        </w:rPr>
        <w:t>Journal of the Learning Sciences, 8</w:t>
      </w:r>
      <w:r w:rsidRPr="00F03CE6">
        <w:rPr>
          <w:rFonts w:asciiTheme="majorHAnsi" w:hAnsiTheme="majorHAnsi"/>
          <w:noProof/>
        </w:rPr>
        <w:t>(3), 349 - 390.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Barab, S. A., &amp; Plucker, J. (2002). Smart people or smart contexts? Cognition, ability, and talent development in an age of situated approaches to knowing and learning. </w:t>
      </w:r>
      <w:r w:rsidRPr="00F03CE6">
        <w:rPr>
          <w:rFonts w:asciiTheme="majorHAnsi" w:hAnsiTheme="majorHAnsi"/>
          <w:i/>
          <w:noProof/>
        </w:rPr>
        <w:t>Educational Psychologist, 37</w:t>
      </w:r>
      <w:r w:rsidRPr="00F03CE6">
        <w:rPr>
          <w:rFonts w:asciiTheme="majorHAnsi" w:hAnsiTheme="majorHAnsi"/>
          <w:noProof/>
        </w:rPr>
        <w:t>(3), 165-182.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Chow, J. Y., Davids, K., Button, C., Shuttleworth, R., Renshaw, I., &amp; Araujo, D. (2007). The Role of Nonlinear Pedagogy in Physical Education. </w:t>
      </w:r>
      <w:r w:rsidRPr="00F03CE6">
        <w:rPr>
          <w:rFonts w:asciiTheme="majorHAnsi" w:hAnsiTheme="majorHAnsi"/>
          <w:i/>
          <w:noProof/>
        </w:rPr>
        <w:t>Review of Educational Research, 77</w:t>
      </w:r>
      <w:r w:rsidRPr="00F03CE6">
        <w:rPr>
          <w:rFonts w:asciiTheme="majorHAnsi" w:hAnsiTheme="majorHAnsi"/>
          <w:noProof/>
        </w:rPr>
        <w:t>(3), 251-278.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Clarke, A., &amp; Collins, S. (2007). Complexity Science and Student Teacher Supervision. </w:t>
      </w:r>
      <w:r w:rsidRPr="00F03CE6">
        <w:rPr>
          <w:rFonts w:asciiTheme="majorHAnsi" w:hAnsiTheme="majorHAnsi"/>
          <w:i/>
          <w:noProof/>
        </w:rPr>
        <w:t>Teaching &amp; Teacher Education: An International Journal of Research and Studies, 23</w:t>
      </w:r>
      <w:r w:rsidRPr="00F03CE6">
        <w:rPr>
          <w:rFonts w:asciiTheme="majorHAnsi" w:hAnsiTheme="majorHAnsi"/>
          <w:noProof/>
        </w:rPr>
        <w:t>(2), 160-172.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Davids, K., Button, C., &amp; Bennett, S. (2008). </w:t>
      </w:r>
      <w:r w:rsidRPr="00F03CE6">
        <w:rPr>
          <w:rFonts w:asciiTheme="majorHAnsi" w:hAnsiTheme="majorHAnsi"/>
          <w:i/>
          <w:noProof/>
        </w:rPr>
        <w:t>Dynamics of skill acquisition: A constraints led approach</w:t>
      </w:r>
      <w:r w:rsidRPr="00F03CE6">
        <w:rPr>
          <w:rFonts w:asciiTheme="majorHAnsi" w:hAnsiTheme="majorHAnsi"/>
          <w:noProof/>
        </w:rPr>
        <w:t>. Windsor, ON: Human Kinetics.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Davis, B. (2008). Complexity and education: Vital simultaneities. </w:t>
      </w:r>
      <w:r w:rsidRPr="00F03CE6">
        <w:rPr>
          <w:rFonts w:asciiTheme="majorHAnsi" w:hAnsiTheme="majorHAnsi"/>
          <w:i/>
          <w:noProof/>
        </w:rPr>
        <w:t>Educational Philosophy and Theory, 40</w:t>
      </w:r>
      <w:r w:rsidRPr="00F03CE6">
        <w:rPr>
          <w:rFonts w:asciiTheme="majorHAnsi" w:hAnsiTheme="majorHAnsi"/>
          <w:noProof/>
        </w:rPr>
        <w:t>(1), 50-65.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Davis, B., &amp; Sumara, D. (2005). Complexity science and educational action research: toward a pragmatics of transformation. </w:t>
      </w:r>
      <w:r w:rsidRPr="00F03CE6">
        <w:rPr>
          <w:rFonts w:asciiTheme="majorHAnsi" w:hAnsiTheme="majorHAnsi"/>
          <w:i/>
          <w:noProof/>
        </w:rPr>
        <w:t>Educational Action Research, 13</w:t>
      </w:r>
      <w:r w:rsidRPr="00F03CE6">
        <w:rPr>
          <w:rFonts w:asciiTheme="majorHAnsi" w:hAnsiTheme="majorHAnsi"/>
          <w:noProof/>
        </w:rPr>
        <w:t>(3), 453 - 466.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Davis, B., &amp; Sumara, D. (2006). </w:t>
      </w:r>
      <w:r w:rsidRPr="00F03CE6">
        <w:rPr>
          <w:rFonts w:asciiTheme="majorHAnsi" w:hAnsiTheme="majorHAnsi"/>
          <w:i/>
          <w:noProof/>
        </w:rPr>
        <w:t>Complexity and education: Inquires into learning, teaching and research</w:t>
      </w:r>
      <w:r w:rsidRPr="00F03CE6">
        <w:rPr>
          <w:rFonts w:asciiTheme="majorHAnsi" w:hAnsiTheme="majorHAnsi"/>
          <w:noProof/>
        </w:rPr>
        <w:t>. London: Lawrence Erlbaum.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Davis, B., Sumara, D., &amp; Luce-Kapler, R. (2008). </w:t>
      </w:r>
      <w:r w:rsidRPr="00F03CE6">
        <w:rPr>
          <w:rFonts w:asciiTheme="majorHAnsi" w:hAnsiTheme="majorHAnsi"/>
          <w:i/>
          <w:noProof/>
        </w:rPr>
        <w:t>Engaging minds: Changing teaching in a complex world</w:t>
      </w:r>
      <w:r w:rsidRPr="00F03CE6">
        <w:rPr>
          <w:rFonts w:asciiTheme="majorHAnsi" w:hAnsiTheme="majorHAnsi"/>
          <w:noProof/>
        </w:rPr>
        <w:t>. New York: Routledge.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Davis, W. E., &amp; Broadhead, G. (2007). </w:t>
      </w:r>
      <w:r w:rsidRPr="00F03CE6">
        <w:rPr>
          <w:rFonts w:asciiTheme="majorHAnsi" w:hAnsiTheme="majorHAnsi"/>
          <w:i/>
          <w:noProof/>
        </w:rPr>
        <w:t>Ecological Task Analysis and Movement</w:t>
      </w:r>
      <w:r w:rsidRPr="00F03CE6">
        <w:rPr>
          <w:rFonts w:asciiTheme="majorHAnsi" w:hAnsiTheme="majorHAnsi"/>
          <w:noProof/>
        </w:rPr>
        <w:t>. Windsor: Human Kinetics.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Gee, J. (2005a). Learning by design: Good video games as learning machines. </w:t>
      </w:r>
      <w:r w:rsidRPr="00F03CE6">
        <w:rPr>
          <w:rFonts w:asciiTheme="majorHAnsi" w:hAnsiTheme="majorHAnsi"/>
          <w:i/>
          <w:noProof/>
        </w:rPr>
        <w:t>E-Learning, 2</w:t>
      </w:r>
      <w:r w:rsidRPr="00F03CE6">
        <w:rPr>
          <w:rFonts w:asciiTheme="majorHAnsi" w:hAnsiTheme="majorHAnsi"/>
          <w:noProof/>
        </w:rPr>
        <w:t>(1), 5-16.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Gee, J. (2005b). </w:t>
      </w:r>
      <w:r w:rsidRPr="00F03CE6">
        <w:rPr>
          <w:rFonts w:asciiTheme="majorHAnsi" w:hAnsiTheme="majorHAnsi"/>
          <w:i/>
          <w:noProof/>
        </w:rPr>
        <w:t>Why video games are good for your soul: Pleasure and learning</w:t>
      </w:r>
      <w:r w:rsidRPr="00F03CE6">
        <w:rPr>
          <w:rFonts w:asciiTheme="majorHAnsi" w:hAnsiTheme="majorHAnsi"/>
          <w:noProof/>
        </w:rPr>
        <w:t>. Toronto: Common Ground.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Gee, J. (2007). </w:t>
      </w:r>
      <w:r w:rsidRPr="00F03CE6">
        <w:rPr>
          <w:rFonts w:asciiTheme="majorHAnsi" w:hAnsiTheme="majorHAnsi"/>
          <w:i/>
          <w:noProof/>
        </w:rPr>
        <w:t>Good video games and good learning</w:t>
      </w:r>
      <w:r w:rsidRPr="00F03CE6">
        <w:rPr>
          <w:rFonts w:asciiTheme="majorHAnsi" w:hAnsiTheme="majorHAnsi"/>
          <w:noProof/>
        </w:rPr>
        <w:t>. New York: Peter Lang.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Gibson, J. J. (1979). </w:t>
      </w:r>
      <w:r w:rsidRPr="00F03CE6">
        <w:rPr>
          <w:rFonts w:asciiTheme="majorHAnsi" w:hAnsiTheme="majorHAnsi"/>
          <w:i/>
          <w:noProof/>
        </w:rPr>
        <w:t>The ecological approach to visual perception</w:t>
      </w:r>
      <w:r w:rsidRPr="00F03CE6">
        <w:rPr>
          <w:rFonts w:asciiTheme="majorHAnsi" w:hAnsiTheme="majorHAnsi"/>
          <w:noProof/>
        </w:rPr>
        <w:t>. Boston: Houghton Mifflin.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Grehaigne, J., Richard, J.-F., &amp; Griffin, L. (2005). </w:t>
      </w:r>
      <w:r w:rsidRPr="00F03CE6">
        <w:rPr>
          <w:rFonts w:asciiTheme="majorHAnsi" w:hAnsiTheme="majorHAnsi"/>
          <w:i/>
          <w:noProof/>
        </w:rPr>
        <w:t>Teaching and learning team sports and games</w:t>
      </w:r>
      <w:r w:rsidRPr="00F03CE6">
        <w:rPr>
          <w:rFonts w:asciiTheme="majorHAnsi" w:hAnsiTheme="majorHAnsi"/>
          <w:noProof/>
        </w:rPr>
        <w:t>. New York: RoutledgeFalmer.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Griffin, L., Mitchell, S. A., &amp; Oslin, J. L. (1997). </w:t>
      </w:r>
      <w:r w:rsidRPr="00F03CE6">
        <w:rPr>
          <w:rFonts w:asciiTheme="majorHAnsi" w:hAnsiTheme="majorHAnsi"/>
          <w:i/>
          <w:noProof/>
        </w:rPr>
        <w:t>Teaching sport concepts and skills : A tactical games approach</w:t>
      </w:r>
      <w:r w:rsidRPr="00F03CE6">
        <w:rPr>
          <w:rFonts w:asciiTheme="majorHAnsi" w:hAnsiTheme="majorHAnsi"/>
          <w:noProof/>
        </w:rPr>
        <w:t>. Champaign, IL: Human Kinetics.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Hopper, T., Sanford, K., &amp; Clarke, A. (In press). Game-as-teacher and game-play: Complex learning in TGfU and Videogames. In T. Hopper, J. Butler &amp; B. Storey (Eds.), </w:t>
      </w:r>
      <w:r w:rsidRPr="00F03CE6">
        <w:rPr>
          <w:rFonts w:asciiTheme="majorHAnsi" w:hAnsiTheme="majorHAnsi"/>
          <w:i/>
          <w:noProof/>
        </w:rPr>
        <w:t>TGfU...Simply Good Pedagogy: Understanding a Complex Challenge</w:t>
      </w:r>
      <w:r w:rsidRPr="00F03CE6">
        <w:rPr>
          <w:rFonts w:asciiTheme="majorHAnsi" w:hAnsiTheme="majorHAnsi"/>
          <w:noProof/>
        </w:rPr>
        <w:t xml:space="preserve"> (pp. 246). Ottawa: Physical Health Education (Canada).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Light, R. (2008). Complex learning theory— its epistemology and its assumptions about learning: implications for physical education. </w:t>
      </w:r>
      <w:r w:rsidRPr="00F03CE6">
        <w:rPr>
          <w:rFonts w:asciiTheme="majorHAnsi" w:hAnsiTheme="majorHAnsi"/>
          <w:i/>
          <w:noProof/>
        </w:rPr>
        <w:t>Journal of Teaching Physical Education, 27</w:t>
      </w:r>
      <w:r w:rsidRPr="00F03CE6">
        <w:rPr>
          <w:rFonts w:asciiTheme="majorHAnsi" w:hAnsiTheme="majorHAnsi"/>
          <w:noProof/>
        </w:rPr>
        <w:t>, 21-37.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Light, R., &amp; Tan, S. (2006). Culture, embodied experience and teachers' development of TGfU in Australia and Singapore. </w:t>
      </w:r>
      <w:r w:rsidRPr="00F03CE6">
        <w:rPr>
          <w:rFonts w:asciiTheme="majorHAnsi" w:hAnsiTheme="majorHAnsi"/>
          <w:i/>
          <w:noProof/>
        </w:rPr>
        <w:t>European Physical Education Review, 12</w:t>
      </w:r>
      <w:r w:rsidRPr="00F03CE6">
        <w:rPr>
          <w:rFonts w:asciiTheme="majorHAnsi" w:hAnsiTheme="majorHAnsi"/>
          <w:noProof/>
        </w:rPr>
        <w:t>(1), 99-117.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Mauldon, E., &amp; Redfern, H. (1969). </w:t>
      </w:r>
      <w:r w:rsidRPr="00F03CE6">
        <w:rPr>
          <w:rFonts w:asciiTheme="majorHAnsi" w:hAnsiTheme="majorHAnsi"/>
          <w:i/>
          <w:noProof/>
        </w:rPr>
        <w:t>Games Teaching</w:t>
      </w:r>
      <w:r w:rsidRPr="00F03CE6">
        <w:rPr>
          <w:rFonts w:asciiTheme="majorHAnsi" w:hAnsiTheme="majorHAnsi"/>
          <w:noProof/>
        </w:rPr>
        <w:t>. London: Macdonald and Evans.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Oslin, J., &amp; Mitchell, S. (2006). Game-centred Approaches to Teaching Physical Education. In D. Kirk, D. Macdonald &amp; M. O'Sullivan (Eds.), </w:t>
      </w:r>
      <w:r w:rsidRPr="00F03CE6">
        <w:rPr>
          <w:rFonts w:asciiTheme="majorHAnsi" w:hAnsiTheme="majorHAnsi"/>
          <w:i/>
          <w:noProof/>
        </w:rPr>
        <w:t>The handbook of physical education</w:t>
      </w:r>
      <w:r w:rsidRPr="00F03CE6">
        <w:rPr>
          <w:rFonts w:asciiTheme="majorHAnsi" w:hAnsiTheme="majorHAnsi"/>
          <w:noProof/>
        </w:rPr>
        <w:t xml:space="preserve"> (pp. 627-651). London: Sage Publications.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Ovens, A., &amp; Smith, W. (2006). Skill: Making sense of a complex concept. </w:t>
      </w:r>
      <w:r w:rsidRPr="00F03CE6">
        <w:rPr>
          <w:rFonts w:asciiTheme="majorHAnsi" w:hAnsiTheme="majorHAnsi"/>
          <w:i/>
          <w:noProof/>
        </w:rPr>
        <w:t>Journal of Physical Education New Zealand, 39</w:t>
      </w:r>
      <w:r w:rsidRPr="00F03CE6">
        <w:rPr>
          <w:rFonts w:asciiTheme="majorHAnsi" w:hAnsiTheme="majorHAnsi"/>
          <w:noProof/>
        </w:rPr>
        <w:t>(1), 72-86.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Richardson, K., &amp; Cilliers, P. (2001). What is complexity science? A view from different directions. </w:t>
      </w:r>
      <w:r w:rsidRPr="00F03CE6">
        <w:rPr>
          <w:rFonts w:asciiTheme="majorHAnsi" w:hAnsiTheme="majorHAnsi"/>
          <w:i/>
          <w:noProof/>
        </w:rPr>
        <w:t>Emergence, 3</w:t>
      </w:r>
      <w:r w:rsidRPr="00F03CE6">
        <w:rPr>
          <w:rFonts w:asciiTheme="majorHAnsi" w:hAnsiTheme="majorHAnsi"/>
          <w:noProof/>
        </w:rPr>
        <w:t>(1), 5-22.</w:t>
      </w:r>
    </w:p>
    <w:p w:rsidR="00F03CE6" w:rsidRPr="00F03CE6" w:rsidRDefault="00F03CE6" w:rsidP="00F03CE6">
      <w:pPr>
        <w:spacing w:after="0"/>
        <w:ind w:left="720" w:hanging="720"/>
        <w:rPr>
          <w:rFonts w:asciiTheme="majorHAnsi" w:hAnsiTheme="majorHAnsi"/>
          <w:noProof/>
        </w:rPr>
      </w:pPr>
      <w:r w:rsidRPr="00F03CE6">
        <w:rPr>
          <w:rFonts w:asciiTheme="majorHAnsi" w:hAnsiTheme="majorHAnsi"/>
          <w:noProof/>
        </w:rPr>
        <w:t xml:space="preserve">Rovegno, I., &amp; Kirk, D. (1995). Articulations and silences in socially critical work on physical education: Towards a broader agenda. </w:t>
      </w:r>
      <w:r w:rsidRPr="00F03CE6">
        <w:rPr>
          <w:rFonts w:asciiTheme="majorHAnsi" w:hAnsiTheme="majorHAnsi"/>
          <w:i/>
          <w:noProof/>
        </w:rPr>
        <w:t>QUEST, 47</w:t>
      </w:r>
      <w:r w:rsidRPr="00F03CE6">
        <w:rPr>
          <w:rFonts w:asciiTheme="majorHAnsi" w:hAnsiTheme="majorHAnsi"/>
          <w:noProof/>
        </w:rPr>
        <w:t>(4), 447-474.</w:t>
      </w:r>
    </w:p>
    <w:p w:rsidR="00AA7668" w:rsidRPr="00F03CE6" w:rsidRDefault="00656B11" w:rsidP="00F03CE6">
      <w:pPr>
        <w:spacing w:after="0"/>
        <w:rPr>
          <w:rFonts w:asciiTheme="majorHAnsi" w:hAnsiTheme="majorHAnsi"/>
        </w:rPr>
      </w:pPr>
      <w:r w:rsidRPr="00F03CE6">
        <w:rPr>
          <w:rFonts w:asciiTheme="majorHAnsi" w:hAnsiTheme="majorHAnsi"/>
        </w:rPr>
        <w:fldChar w:fldCharType="end"/>
      </w:r>
    </w:p>
    <w:sectPr w:rsidR="00AA7668" w:rsidRPr="00F03CE6" w:rsidSect="00F03CE6">
      <w:headerReference w:type="default" r:id="rId7"/>
      <w:footerReference w:type="even" r:id="rId8"/>
      <w:footerReference w:type="default" r:id="rId9"/>
      <w:pgSz w:w="12240" w:h="15840"/>
      <w:pgMar w:top="1276" w:right="1183" w:bottom="1276" w:left="1276" w:gutter="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2F19" w:rsidRDefault="00656B11" w:rsidP="00620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0C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F19" w:rsidRDefault="00EE40D1" w:rsidP="00602F7D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2F19" w:rsidRDefault="00656B11" w:rsidP="00620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0C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0D1">
      <w:rPr>
        <w:rStyle w:val="PageNumber"/>
        <w:noProof/>
      </w:rPr>
      <w:t>1</w:t>
    </w:r>
    <w:r>
      <w:rPr>
        <w:rStyle w:val="PageNumber"/>
      </w:rPr>
      <w:fldChar w:fldCharType="end"/>
    </w:r>
  </w:p>
  <w:p w:rsidR="006A2F19" w:rsidRDefault="00EE40D1" w:rsidP="00602F7D">
    <w:pPr>
      <w:pStyle w:val="Footer"/>
      <w:ind w:right="36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2F19" w:rsidRPr="00602F7D" w:rsidRDefault="007D0CDC" w:rsidP="00ED51FD">
    <w:pPr>
      <w:pStyle w:val="Header"/>
      <w:tabs>
        <w:tab w:val="left" w:pos="7797"/>
      </w:tabs>
      <w:rPr>
        <w:sz w:val="20"/>
      </w:rPr>
    </w:pPr>
    <w:r>
      <w:rPr>
        <w:sz w:val="20"/>
      </w:rPr>
      <w:t>6/27/09</w:t>
    </w:r>
    <w:r w:rsidR="00937932">
      <w:rPr>
        <w:sz w:val="20"/>
      </w:rPr>
      <w:tab/>
    </w:r>
    <w:r w:rsidRPr="00602F7D">
      <w:rPr>
        <w:sz w:val="20"/>
      </w:rPr>
      <w:t xml:space="preserve">Dr Tim Hopper – </w:t>
    </w:r>
    <w:hyperlink r:id="rId1" w:history="1">
      <w:r w:rsidRPr="00217587">
        <w:rPr>
          <w:rStyle w:val="Hyperlink"/>
          <w:sz w:val="20"/>
        </w:rPr>
        <w:t>http://web.uvic.ca/~thopper</w:t>
      </w:r>
    </w:hyperlink>
    <w:r>
      <w:rPr>
        <w:sz w:val="20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5440081"/>
    <w:multiLevelType w:val="hybridMultilevel"/>
    <w:tmpl w:val="258A6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37932"/>
    <w:rsid w:val="00656B11"/>
    <w:rsid w:val="007D0CDC"/>
    <w:rsid w:val="00937932"/>
    <w:rsid w:val="00BF2F46"/>
    <w:rsid w:val="00EE40D1"/>
    <w:rsid w:val="00F03CE6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5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32"/>
    <w:rPr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334412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val="en-CA"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2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8C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34412"/>
    <w:rPr>
      <w:rFonts w:ascii="Times New Roman" w:eastAsia="Times New Roman" w:hAnsi="Times New Roman" w:cs="Times New Roman"/>
      <w:b/>
      <w:bCs/>
      <w:kern w:val="36"/>
      <w:sz w:val="24"/>
      <w:szCs w:val="48"/>
      <w:lang w:val="en-CA" w:eastAsia="en-CA"/>
    </w:rPr>
  </w:style>
  <w:style w:type="paragraph" w:styleId="ListParagraph">
    <w:name w:val="List Paragraph"/>
    <w:basedOn w:val="Normal"/>
    <w:rsid w:val="0093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9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93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9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932"/>
    <w:rPr>
      <w:sz w:val="24"/>
      <w:szCs w:val="24"/>
    </w:rPr>
  </w:style>
  <w:style w:type="character" w:styleId="Hyperlink">
    <w:name w:val="Hyperlink"/>
    <w:basedOn w:val="DefaultParagraphFont"/>
    <w:rsid w:val="00937932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3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yperlink" Target="http://www.youtube.com/watch?v=gdQgoNitl1g&amp;feature=related" TargetMode="External"/><Relationship Id="rId7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hyperlink" Target="http://www.youtube.com/watch?v=S5NRNG1r_jI&amp;feature=rela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.uvic.ca/~thop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887</Words>
  <Characters>5058</Characters>
  <Application>Microsoft Macintosh Word</Application>
  <DocSecurity>0</DocSecurity>
  <Lines>42</Lines>
  <Paragraphs>10</Paragraphs>
  <ScaleCrop>false</ScaleCrop>
  <Company>University of Victoria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Hopper</dc:creator>
  <cp:keywords/>
  <cp:lastModifiedBy>Timothy Hopper</cp:lastModifiedBy>
  <cp:revision>5</cp:revision>
  <dcterms:created xsi:type="dcterms:W3CDTF">2009-06-29T07:53:00Z</dcterms:created>
  <dcterms:modified xsi:type="dcterms:W3CDTF">2009-06-30T21:12:00Z</dcterms:modified>
</cp:coreProperties>
</file>